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3" w:rsidRDefault="00A632AC">
      <w:pPr>
        <w:spacing w:before="0" w:after="0"/>
        <w:jc w:val="center"/>
        <w:rPr>
          <w:highlight w:val="white"/>
        </w:rPr>
      </w:pPr>
      <w:bookmarkStart w:id="0" w:name="_GoBack"/>
      <w:bookmarkEnd w:id="0"/>
      <w:r>
        <w:rPr>
          <w:rFonts w:cs="Times New Roman"/>
          <w:sz w:val="28"/>
          <w:szCs w:val="28"/>
          <w:highlight w:val="white"/>
          <w:lang w:eastAsia="ru-RU" w:bidi="ar-SA"/>
        </w:rPr>
        <w:t>Извещение</w:t>
      </w:r>
    </w:p>
    <w:p w:rsidR="00B10063" w:rsidRDefault="00A632AC">
      <w:pPr>
        <w:spacing w:before="0" w:after="0"/>
        <w:jc w:val="center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 xml:space="preserve">о проведении конкурса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№14/2024 на право заключения договора пользования рыболовным участком для осуществления промышленного рыболовства на водных объектах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br/>
        <w:t>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 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Югры</w:t>
      </w:r>
    </w:p>
    <w:p w:rsidR="00B10063" w:rsidRDefault="00B10063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highlight w:val="white"/>
        </w:rPr>
      </w:pP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highlight w:val="white"/>
          <w:lang w:eastAsia="ru-RU"/>
        </w:rPr>
        <w:t>–</w:t>
      </w:r>
      <w:r>
        <w:rPr>
          <w:rFonts w:cs="Times New Roman"/>
          <w:sz w:val="28"/>
          <w:szCs w:val="28"/>
          <w:highlight w:val="white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/>
        </w:rPr>
        <w:t>–</w:t>
      </w:r>
      <w:r>
        <w:rPr>
          <w:rFonts w:cs="Times New Roman"/>
          <w:sz w:val="28"/>
          <w:szCs w:val="28"/>
          <w:highlight w:val="white"/>
        </w:rPr>
        <w:t xml:space="preserve"> Югры.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Местонахождение, почтовый адрес организатора конкурса: 628011, г. Ханты-Мансийск, ул. Рознина, д. 64, каб. 315.</w:t>
      </w:r>
    </w:p>
    <w:p w:rsidR="00B10063" w:rsidRDefault="00A632A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А</w:t>
      </w:r>
      <w:r>
        <w:rPr>
          <w:rFonts w:cs="Times New Roman"/>
          <w:sz w:val="28"/>
          <w:szCs w:val="28"/>
          <w:highlight w:val="white"/>
        </w:rPr>
        <w:t>дрес электронной почты: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 </w:t>
      </w:r>
      <w:hyperlink r:id="rId7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val="en-US" w:eastAsia="ru-RU"/>
          </w:rPr>
          <w:t>depprom</w:t>
        </w:r>
      </w:hyperlink>
      <w:hyperlink r:id="rId8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eastAsia="ru-RU"/>
          </w:rPr>
          <w:t>@</w:t>
        </w:r>
      </w:hyperlink>
      <w:hyperlink r:id="rId9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val="en-US" w:eastAsia="ru-RU"/>
          </w:rPr>
          <w:t>admhmao</w:t>
        </w:r>
      </w:hyperlink>
      <w:hyperlink r:id="rId10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highlight w:val="white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highlight w:val="white"/>
          <w:u w:val="none"/>
          <w:lang w:eastAsia="ru-RU"/>
        </w:rPr>
        <w:t>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Н</w:t>
      </w:r>
      <w:r>
        <w:rPr>
          <w:rFonts w:cs="Times New Roman"/>
          <w:sz w:val="28"/>
          <w:szCs w:val="28"/>
          <w:highlight w:val="white"/>
        </w:rPr>
        <w:t>омер контактного телефона: 8(3467)353-404 добавочный номер 3872 (приемная), добавочный номер 3834 (Слепокуров Аким Валерьевич), добавочный номер 3833 (Иванова Снежана Гелимхановна).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водных объектах</w:t>
      </w:r>
      <w:r>
        <w:rPr>
          <w:rFonts w:cs="Times New Roman"/>
          <w:sz w:val="28"/>
          <w:szCs w:val="28"/>
          <w:highlight w:val="white"/>
        </w:rPr>
        <w:t xml:space="preserve"> Ханты-Мансийского автономного</w:t>
      </w:r>
      <w:r>
        <w:rPr>
          <w:rFonts w:cs="Times New Roman"/>
          <w:sz w:val="28"/>
          <w:szCs w:val="28"/>
          <w:highlight w:val="white"/>
        </w:rPr>
        <w:br/>
        <w:t xml:space="preserve">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/>
        </w:rPr>
        <w:t>–</w:t>
      </w:r>
      <w:r>
        <w:rPr>
          <w:rFonts w:cs="Times New Roman"/>
          <w:sz w:val="28"/>
          <w:szCs w:val="28"/>
          <w:highlight w:val="white"/>
        </w:rPr>
        <w:t xml:space="preserve"> Югры (далее – договор).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Перечень рыболовных участков (лотов), в о</w:t>
      </w:r>
      <w:r>
        <w:rPr>
          <w:rFonts w:cs="Times New Roman"/>
          <w:sz w:val="28"/>
          <w:szCs w:val="28"/>
          <w:highlight w:val="white"/>
        </w:rPr>
        <w:t xml:space="preserve">тношении которых проводится конкурс указан в приложении </w:t>
      </w:r>
      <w:r>
        <w:rPr>
          <w:rFonts w:cs="Times New Roman"/>
          <w:sz w:val="28"/>
          <w:szCs w:val="28"/>
          <w:highlight w:val="white"/>
          <w:lang w:eastAsia="ru-RU" w:bidi="ar-SA"/>
        </w:rPr>
        <w:t>1</w:t>
      </w:r>
      <w:r>
        <w:rPr>
          <w:rFonts w:cs="Times New Roman"/>
          <w:sz w:val="28"/>
          <w:szCs w:val="28"/>
          <w:highlight w:val="white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по проведению конкурса № 14/2024 на право заключения договора пользования рыболовным участком для осуществления промышленного рыболовства на водных объектах Ханты-Мансийско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го автономного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br/>
        <w:t xml:space="preserve">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 xml:space="preserve"> Югры (далее – конкурсная документация). 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3. Заявки на участие в конкурсе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а 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 xml:space="preserve"> Югры</w:t>
      </w:r>
      <w:r>
        <w:rPr>
          <w:rFonts w:cs="Times New Roman"/>
          <w:sz w:val="28"/>
          <w:szCs w:val="28"/>
          <w:highlight w:val="white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а) на бумажном носителе </w:t>
      </w:r>
      <w:r>
        <w:rPr>
          <w:sz w:val="28"/>
          <w:szCs w:val="28"/>
          <w:highlight w:val="white"/>
          <w:lang w:eastAsia="ru-RU" w:bidi="ar-SA"/>
        </w:rPr>
        <w:t>непосредственно</w:t>
      </w:r>
      <w:r>
        <w:rPr>
          <w:sz w:val="28"/>
          <w:szCs w:val="28"/>
          <w:highlight w:val="white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highlight w:val="white"/>
          <w:lang w:eastAsia="en-US" w:bidi="ar-SA"/>
        </w:rPr>
        <w:t>–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Югра,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br/>
        <w:t>г. Ханты-Мансий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ск, ул. Рознина, д. 64, каб. 315</w:t>
      </w:r>
      <w:r>
        <w:rPr>
          <w:sz w:val="28"/>
          <w:szCs w:val="28"/>
          <w:highlight w:val="white"/>
        </w:rPr>
        <w:t>;</w:t>
      </w:r>
    </w:p>
    <w:p w:rsidR="00B10063" w:rsidRDefault="00A632AC">
      <w:pPr>
        <w:spacing w:before="0" w:after="0"/>
        <w:ind w:firstLine="709"/>
        <w:jc w:val="both"/>
        <w:rPr>
          <w:rFonts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  <w:highlight w:val="white"/>
        </w:rPr>
        <w:t xml:space="preserve"> 628011, г. Ханты-Мансийск, ул. Рознина, д. 64 каб. </w:t>
      </w:r>
      <w:r>
        <w:rPr>
          <w:rFonts w:eastAsia="Calibri"/>
          <w:sz w:val="28"/>
          <w:szCs w:val="28"/>
          <w:highlight w:val="white"/>
          <w:lang w:eastAsia="en-US" w:bidi="ar-SA"/>
        </w:rPr>
        <w:t>315</w:t>
      </w:r>
      <w:r>
        <w:rPr>
          <w:rFonts w:cs="Times New Roman"/>
          <w:sz w:val="28"/>
          <w:szCs w:val="28"/>
          <w:highlight w:val="white"/>
        </w:rPr>
        <w:t>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в) посредством федеральной государственной информ</w:t>
      </w:r>
      <w:r>
        <w:rPr>
          <w:rFonts w:cs="Times New Roman"/>
          <w:sz w:val="28"/>
          <w:szCs w:val="28"/>
          <w:highlight w:val="white"/>
        </w:rPr>
        <w:t>ационной системы «Единый портал государственных и муниципальных услуг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(функций)» (далее – ЕПГУ) или регионального портала государственных и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муниципальных услуг (далее – региональный портал) с комплектом документов, подписанных квалифицированной электронной</w:t>
      </w:r>
      <w:r>
        <w:rPr>
          <w:rFonts w:cs="Times New Roman"/>
          <w:sz w:val="28"/>
          <w:szCs w:val="28"/>
          <w:highlight w:val="white"/>
        </w:rPr>
        <w:t xml:space="preserve"> подписью или усиленной неквалифицированной электронной подписью в соответствии с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требованиями Федерального закона от 6 апреля 2011 года № 63-ФЗ</w:t>
      </w:r>
      <w:r>
        <w:rPr>
          <w:rFonts w:cs="Times New Roman"/>
          <w:sz w:val="28"/>
          <w:szCs w:val="28"/>
          <w:highlight w:val="white"/>
        </w:rPr>
        <w:br/>
        <w:t>«Об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электронной подписи» (при наличии технической возможности).</w:t>
      </w:r>
    </w:p>
    <w:p w:rsidR="00B10063" w:rsidRDefault="00A632A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highlight w:val="white"/>
        </w:rPr>
        <w:t>Днем начала подачи заявок является день, следую</w:t>
      </w:r>
      <w:r>
        <w:rPr>
          <w:rFonts w:cs="Times New Roman"/>
          <w:sz w:val="28"/>
          <w:szCs w:val="28"/>
          <w:highlight w:val="white"/>
        </w:rPr>
        <w:t xml:space="preserve">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 w:tooltip="http://www.torgi.gov.ru/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</w:rPr>
          <w:t>www.torgi.gov.ru</w:t>
        </w:r>
      </w:hyperlink>
      <w:r>
        <w:rPr>
          <w:rFonts w:cs="Times New Roman"/>
          <w:sz w:val="28"/>
          <w:szCs w:val="28"/>
          <w:highlight w:val="white"/>
        </w:rPr>
        <w:t xml:space="preserve"> (далее – официальный сайт) извещения о проведении конкурса.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Заявки принимаются с 9 часов 00 минут (по местному времени) 26 июня 2024 года до 10 часов 00 минут 7 августа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2024 года</w:t>
      </w:r>
      <w:r>
        <w:rPr>
          <w:sz w:val="28"/>
          <w:szCs w:val="28"/>
          <w:highlight w:val="white"/>
        </w:rPr>
        <w:t>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Время приема заявок (по местному времени) на бумажном носит</w:t>
      </w:r>
      <w:r>
        <w:rPr>
          <w:sz w:val="28"/>
          <w:szCs w:val="28"/>
          <w:highlight w:val="white"/>
        </w:rPr>
        <w:t>еле в рабочие дни: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 понедельника по </w:t>
      </w:r>
      <w:r>
        <w:rPr>
          <w:sz w:val="28"/>
          <w:szCs w:val="28"/>
          <w:highlight w:val="white"/>
          <w:lang w:eastAsia="ru-RU" w:bidi="ar-SA"/>
        </w:rPr>
        <w:t>четверг</w:t>
      </w:r>
      <w:r>
        <w:rPr>
          <w:sz w:val="28"/>
          <w:szCs w:val="28"/>
          <w:highlight w:val="white"/>
        </w:rPr>
        <w:t xml:space="preserve"> с 9 часов 00 минут до 18 часов </w:t>
      </w:r>
      <w:r>
        <w:rPr>
          <w:sz w:val="28"/>
          <w:szCs w:val="28"/>
          <w:highlight w:val="white"/>
          <w:lang w:eastAsia="ru-RU" w:bidi="ar-SA"/>
        </w:rPr>
        <w:t>15</w:t>
      </w:r>
      <w:r>
        <w:rPr>
          <w:sz w:val="28"/>
          <w:szCs w:val="28"/>
          <w:highlight w:val="white"/>
        </w:rPr>
        <w:t xml:space="preserve"> минут;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пятницу </w:t>
      </w:r>
      <w:r>
        <w:rPr>
          <w:rFonts w:cs="Times New Roman"/>
          <w:sz w:val="28"/>
          <w:szCs w:val="28"/>
          <w:highlight w:val="white"/>
          <w:lang w:eastAsia="ru-RU" w:bidi="ar-SA"/>
        </w:rPr>
        <w:t>с 9 часов 00 минут до 17 часов 00 минут;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перерыв с 13 часов 00 минут до 14 часов 00 минут.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Прием заявок прекращается непосредственно перед началом процедуры вск</w:t>
      </w:r>
      <w:r>
        <w:rPr>
          <w:rFonts w:cs="Times New Roman"/>
          <w:sz w:val="28"/>
          <w:szCs w:val="28"/>
          <w:highlight w:val="white"/>
          <w:lang w:eastAsia="ru-RU" w:bidi="ar-SA"/>
        </w:rPr>
        <w:t>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highlight w:val="white"/>
          <w:lang w:eastAsia="ru-RU" w:bidi="ar-SA"/>
        </w:rPr>
        <w:t>– </w:t>
      </w:r>
      <w:r>
        <w:rPr>
          <w:rFonts w:cs="Times New Roman"/>
          <w:sz w:val="28"/>
          <w:szCs w:val="28"/>
          <w:highlight w:val="white"/>
          <w:lang w:eastAsia="ru-RU" w:bidi="ar-SA"/>
        </w:rPr>
        <w:t>Югры (далее – к</w:t>
      </w:r>
      <w:r>
        <w:rPr>
          <w:rFonts w:cs="Times New Roman"/>
          <w:sz w:val="28"/>
          <w:szCs w:val="28"/>
          <w:highlight w:val="white"/>
          <w:lang w:eastAsia="ru-RU" w:bidi="ar-SA"/>
        </w:rPr>
        <w:t xml:space="preserve">онкурс, вскрытие конвертов с заявками и открытие доступа к заявкам) в 10 часов 00 минут (по местному времени) </w:t>
      </w:r>
      <w:r>
        <w:rPr>
          <w:sz w:val="28"/>
          <w:szCs w:val="28"/>
          <w:highlight w:val="white"/>
        </w:rPr>
        <w:t xml:space="preserve">7 августа </w:t>
      </w:r>
      <w:r>
        <w:rPr>
          <w:rFonts w:eastAsia="Courier New" w:cs="Liberation Serif"/>
          <w:sz w:val="28"/>
          <w:szCs w:val="28"/>
          <w:highlight w:val="white"/>
          <w:lang w:eastAsia="ar-SA" w:bidi="ar-SA"/>
        </w:rPr>
        <w:t xml:space="preserve">2024 </w:t>
      </w:r>
      <w:r>
        <w:rPr>
          <w:rFonts w:cs="Times New Roman"/>
          <w:sz w:val="28"/>
          <w:szCs w:val="28"/>
          <w:highlight w:val="white"/>
          <w:lang w:eastAsia="ru-RU" w:bidi="ar-SA"/>
        </w:rPr>
        <w:t>года.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Заявитель вправе подать в отношении 1 лота только 1 заявку.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Заявка оформляется по форме, согласно приложению 2 к конкурсной д</w:t>
      </w:r>
      <w:r>
        <w:rPr>
          <w:rFonts w:cs="Times New Roman"/>
          <w:sz w:val="28"/>
          <w:szCs w:val="28"/>
          <w:highlight w:val="white"/>
          <w:lang w:eastAsia="ru-RU" w:bidi="ar-SA"/>
        </w:rPr>
        <w:t>окументации.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Заявитель вправе изменить и</w:t>
      </w:r>
      <w:r>
        <w:rPr>
          <w:sz w:val="28"/>
          <w:szCs w:val="28"/>
          <w:highlight w:val="white"/>
        </w:rPr>
        <w:t>ли отозвать заявку в любое время до окончания срока ее подачи.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Д</w:t>
      </w:r>
      <w:r>
        <w:rPr>
          <w:rFonts w:cs="Times New Roman"/>
          <w:sz w:val="28"/>
          <w:szCs w:val="28"/>
          <w:highlight w:val="white"/>
          <w:lang w:eastAsia="ru-RU" w:bidi="ar-SA"/>
        </w:rPr>
        <w:t>окументы, предоставленные заявителем в к</w:t>
      </w:r>
      <w:r>
        <w:rPr>
          <w:rFonts w:cs="Times New Roman"/>
          <w:sz w:val="28"/>
          <w:szCs w:val="28"/>
          <w:highlight w:val="white"/>
          <w:lang w:eastAsia="ru-RU" w:bidi="ar-SA"/>
        </w:rPr>
        <w:t>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Заявитель запечатывает</w:t>
      </w:r>
      <w:r>
        <w:rPr>
          <w:sz w:val="28"/>
          <w:szCs w:val="28"/>
          <w:highlight w:val="white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highlight w:val="white"/>
          <w:lang w:eastAsia="ru-RU" w:bidi="ar-SA"/>
        </w:rPr>
        <w:t>организатора конкурса</w:t>
      </w:r>
      <w:r>
        <w:rPr>
          <w:sz w:val="28"/>
          <w:szCs w:val="28"/>
          <w:highlight w:val="white"/>
        </w:rPr>
        <w:t xml:space="preserve">, время и дата вскрытия конверта. Конверт оформляется </w:t>
      </w:r>
      <w:r>
        <w:rPr>
          <w:sz w:val="28"/>
          <w:szCs w:val="28"/>
          <w:highlight w:val="white"/>
          <w:lang w:eastAsia="ru-RU" w:bidi="ar-SA"/>
        </w:rPr>
        <w:t xml:space="preserve">в соответствии с </w:t>
      </w:r>
      <w:r>
        <w:rPr>
          <w:sz w:val="28"/>
          <w:szCs w:val="28"/>
          <w:highlight w:val="white"/>
        </w:rPr>
        <w:t>приложением 3 к конкурсной документации.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Заявитель самостоятельно определяет способ подачи заявок и несет все риски того, что его заявка будет доставлена по неправи</w:t>
      </w:r>
      <w:r>
        <w:rPr>
          <w:rFonts w:cs="Times New Roman"/>
          <w:sz w:val="28"/>
          <w:szCs w:val="28"/>
          <w:highlight w:val="white"/>
        </w:rPr>
        <w:t xml:space="preserve">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  <w:highlight w:val="white"/>
        </w:rPr>
        <w:t>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4. </w:t>
      </w:r>
      <w:r>
        <w:rPr>
          <w:rFonts w:cs="Times New Roman"/>
          <w:sz w:val="28"/>
          <w:szCs w:val="28"/>
          <w:highlight w:val="white"/>
        </w:rPr>
        <w:t>Договор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</w:t>
      </w:r>
      <w:r>
        <w:rPr>
          <w:rFonts w:cs="Times New Roman"/>
          <w:sz w:val="28"/>
          <w:szCs w:val="28"/>
          <w:highlight w:val="white"/>
        </w:rPr>
        <w:t xml:space="preserve">заключается сроком </w:t>
      </w:r>
      <w:r>
        <w:rPr>
          <w:rFonts w:cs="Times New Roman"/>
          <w:bCs/>
          <w:sz w:val="28"/>
          <w:szCs w:val="28"/>
          <w:highlight w:val="white"/>
        </w:rPr>
        <w:t xml:space="preserve">на </w:t>
      </w:r>
      <w:r>
        <w:rPr>
          <w:rFonts w:cs="Times New Roman"/>
          <w:sz w:val="28"/>
          <w:szCs w:val="28"/>
          <w:highlight w:val="white"/>
        </w:rPr>
        <w:t>15 лет.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5. Требования к заявителям: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в отношении заявителя не проводятся процедуры банкротства и ликвидации;</w:t>
      </w:r>
    </w:p>
    <w:p w:rsidR="00B10063" w:rsidRDefault="00A632AC">
      <w:pPr>
        <w:spacing w:before="0" w:after="0"/>
        <w:ind w:firstLine="709"/>
        <w:jc w:val="both"/>
      </w:pPr>
      <w:r>
        <w:rPr>
          <w:sz w:val="28"/>
          <w:szCs w:val="28"/>
          <w:highlight w:val="white"/>
        </w:rPr>
        <w:t xml:space="preserve">б) деятельность заявителя не приостановлена в порядке, предусмотренном </w:t>
      </w:r>
      <w:hyperlink r:id="rId12" w:tooltip="consultantplus://offline/ref=9459E4C3559DE3FAAE59624B4DB047ACD4BB5B6CC06CFC15B0C8226C63C9429A832F02219DZ2Y8E" w:history="1">
        <w:r>
          <w:rPr>
            <w:rStyle w:val="-"/>
            <w:color w:val="auto"/>
            <w:sz w:val="28"/>
            <w:szCs w:val="28"/>
            <w:highlight w:val="white"/>
            <w:u w:val="none"/>
          </w:rPr>
          <w:t>Кодексом</w:t>
        </w:r>
      </w:hyperlink>
      <w:r>
        <w:rPr>
          <w:sz w:val="28"/>
          <w:szCs w:val="28"/>
          <w:highlight w:val="white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B10063" w:rsidRDefault="00A632AC">
      <w:pPr>
        <w:spacing w:before="0" w:after="0"/>
        <w:ind w:firstLine="709"/>
        <w:jc w:val="both"/>
      </w:pPr>
      <w:r>
        <w:rPr>
          <w:sz w:val="28"/>
          <w:szCs w:val="28"/>
          <w:highlight w:val="white"/>
        </w:rPr>
        <w:t>в) отсутствие у заявителя задолженности по налогам, сборам и иным о</w:t>
      </w:r>
      <w:r>
        <w:rPr>
          <w:sz w:val="28"/>
          <w:szCs w:val="28"/>
          <w:highlight w:val="white"/>
        </w:rPr>
        <w:t>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</w:t>
      </w:r>
      <w:r>
        <w:rPr>
          <w:sz w:val="28"/>
          <w:szCs w:val="28"/>
          <w:highlight w:val="white"/>
        </w:rPr>
        <w:t xml:space="preserve">аявитель считается соответствующим установленному требованию, если он обжаловал наличие указанной задолженности в соответствии с </w:t>
      </w:r>
      <w:hyperlink r:id="rId13" w:tooltip="consultantplus://offline/ref=9459E4C3559DE3FAAE59624B4DB047ACD4BB5B6FC46AFC15B0C8226C63C9429A832F02259C2B3584ZBY2E" w:history="1">
        <w:r>
          <w:rPr>
            <w:rStyle w:val="-"/>
            <w:color w:val="auto"/>
            <w:sz w:val="28"/>
            <w:szCs w:val="28"/>
            <w:highlight w:val="white"/>
            <w:u w:val="none"/>
          </w:rPr>
          <w:t>законодательством</w:t>
        </w:r>
      </w:hyperlink>
      <w:r>
        <w:rPr>
          <w:sz w:val="28"/>
          <w:szCs w:val="28"/>
          <w:highlight w:val="white"/>
        </w:rPr>
        <w:t xml:space="preserve"> Российской Федерации и решение по такой жалобе не вступило в силу на день рассмотрения заявки;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г) отсутствие решен</w:t>
      </w:r>
      <w:r>
        <w:rPr>
          <w:sz w:val="28"/>
          <w:szCs w:val="28"/>
          <w:highlight w:val="white"/>
        </w:rPr>
        <w:t>ия суда о принудительном расторжении ранее заключенного договора (договоров) с заявителем в связи с нарушением заявителем существенных условий договора за последние 2 года, предшествующие году проведения конкурса;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д) заявитель не находится под контролем ин</w:t>
      </w:r>
      <w:r>
        <w:rPr>
          <w:rFonts w:cs="Times New Roman"/>
          <w:sz w:val="28"/>
          <w:szCs w:val="28"/>
          <w:highlight w:val="white"/>
        </w:rPr>
        <w:t>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</w:t>
      </w:r>
      <w:r>
        <w:rPr>
          <w:rFonts w:cs="Times New Roman"/>
          <w:sz w:val="28"/>
          <w:szCs w:val="28"/>
          <w:highlight w:val="white"/>
        </w:rPr>
        <w:t>егическое значение для обеспечения обороны страны и безопасности государства».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Заявитель не вправе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</w:t>
      </w:r>
      <w:r>
        <w:rPr>
          <w:rFonts w:cs="Times New Roman"/>
          <w:sz w:val="28"/>
          <w:szCs w:val="28"/>
          <w:highlight w:val="white"/>
        </w:rPr>
        <w:t xml:space="preserve">уществления промышленного рыболовства, передаваемых в пользование заявителю (группе лиц, в которую входит заявитель) и расположенных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Ханты-Мансийского автономного округа </w:t>
      </w:r>
      <w:r>
        <w:rPr>
          <w:rFonts w:cs="Times New Roman"/>
          <w:sz w:val="28"/>
          <w:szCs w:val="28"/>
          <w:highlight w:val="white"/>
          <w:lang w:eastAsia="ru-RU" w:bidi="ar-SA"/>
        </w:rPr>
        <w:t>– </w:t>
      </w:r>
      <w:r>
        <w:rPr>
          <w:rFonts w:cs="Times New Roman"/>
          <w:sz w:val="28"/>
          <w:szCs w:val="28"/>
          <w:highlight w:val="white"/>
        </w:rPr>
        <w:t xml:space="preserve">Югры (далее – автономный округ) или </w:t>
      </w:r>
      <w:r>
        <w:rPr>
          <w:rFonts w:cs="Times New Roman"/>
          <w:sz w:val="28"/>
          <w:szCs w:val="28"/>
          <w:highlight w:val="white"/>
        </w:rPr>
        <w:t>прилегающих к территории такого муниципального образования, составит более 35 процентов соответственно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участков, сформированн</w:t>
      </w:r>
      <w:r>
        <w:rPr>
          <w:rFonts w:cs="Times New Roman"/>
          <w:sz w:val="28"/>
          <w:szCs w:val="28"/>
          <w:highlight w:val="white"/>
        </w:rPr>
        <w:t xml:space="preserve">ых в установленном порядке до 31 декабря 2018 года, и рыболовных участков для осуществления промышленного рыболовства, расположенных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автономного круга или прилегающих к территории такого муниципального образо</w:t>
      </w:r>
      <w:r>
        <w:rPr>
          <w:rFonts w:cs="Times New Roman"/>
          <w:sz w:val="28"/>
          <w:szCs w:val="28"/>
          <w:highlight w:val="white"/>
        </w:rPr>
        <w:t>вания.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Для расчета совокупного количества и суммарной площади рыболовных участков для осуществления промышленного рыболовства, передаваемых в пользование заявителю, комиссия использует сведения, включенные в перечень рыболовных участков, утвержденный в уст</w:t>
      </w:r>
      <w:r>
        <w:rPr>
          <w:rFonts w:cs="Times New Roman"/>
          <w:sz w:val="28"/>
          <w:szCs w:val="28"/>
          <w:highlight w:val="white"/>
        </w:rPr>
        <w:t>ановленном законодательством Российской Федерации порядке и сведения о заключенных договорах.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Группа лиц, в которую входит заявитель, определяется в соответствии с Федеральным законом «О защите конкуренции». При этом комиссия вправе на любой стадии конкурс</w:t>
      </w:r>
      <w:r>
        <w:rPr>
          <w:rFonts w:cs="Times New Roman"/>
          <w:sz w:val="28"/>
          <w:szCs w:val="28"/>
          <w:highlight w:val="white"/>
        </w:rPr>
        <w:t>а проверить факт вхождения заявителя в состав группы лиц.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В случае если заявитель в течение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</w:t>
      </w:r>
      <w:r>
        <w:rPr>
          <w:rFonts w:cs="Times New Roman"/>
          <w:sz w:val="28"/>
          <w:szCs w:val="28"/>
          <w:highlight w:val="white"/>
        </w:rPr>
        <w:t xml:space="preserve">ми до 31 декабря 2018 года рыбопромысловыми участками для осуществления промышленного рыболовства, расположенными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автономного округа или прилегающими к территории такого муниципального образования, совокупное</w:t>
      </w:r>
      <w:r>
        <w:rPr>
          <w:rFonts w:cs="Times New Roman"/>
          <w:sz w:val="28"/>
          <w:szCs w:val="28"/>
          <w:highlight w:val="white"/>
        </w:rPr>
        <w:t xml:space="preserve"> количество либо суммарная площадь которых превышает 35 процентов 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</w:t>
      </w:r>
      <w:r>
        <w:rPr>
          <w:rFonts w:cs="Times New Roman"/>
          <w:sz w:val="28"/>
          <w:szCs w:val="28"/>
          <w:highlight w:val="white"/>
        </w:rPr>
        <w:t>тков для осуществления промышленного рыболовства, расположенных на территории этого муниципального образования или прилегающих к территории такого муниципального образования, заявитель вправе претендовать на заключение договора, предусматривающего предоста</w:t>
      </w:r>
      <w:r>
        <w:rPr>
          <w:rFonts w:cs="Times New Roman"/>
          <w:sz w:val="28"/>
          <w:szCs w:val="28"/>
          <w:highlight w:val="white"/>
        </w:rPr>
        <w:t xml:space="preserve">вление рыболовных участков для осуществления промышленного рыболовства, совокупное количество либо суммарная площадь которых </w:t>
      </w:r>
      <w:r>
        <w:rPr>
          <w:rFonts w:cs="Times New Roman"/>
          <w:sz w:val="28"/>
          <w:szCs w:val="28"/>
          <w:highlight w:val="white"/>
        </w:rPr>
        <w:lastRenderedPageBreak/>
        <w:t>превышает указанные 35 процентов, но не более процентного соотношения совокупного количества либо суммарной площади рыболовных учас</w:t>
      </w:r>
      <w:r>
        <w:rPr>
          <w:rFonts w:cs="Times New Roman"/>
          <w:sz w:val="28"/>
          <w:szCs w:val="28"/>
          <w:highlight w:val="white"/>
        </w:rPr>
        <w:t>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 рыболовства, в отношении которых такой заявитель обладал правом пользования в т</w:t>
      </w:r>
      <w:r>
        <w:rPr>
          <w:rFonts w:cs="Times New Roman"/>
          <w:sz w:val="28"/>
          <w:szCs w:val="28"/>
          <w:highlight w:val="white"/>
        </w:rPr>
        <w:t>ечение года, предшествовавшего году проведения конкурса.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Вышеуказанное ограничение не применяется в случае: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если заявитель является единственным участником конкурса по отдельному лоту;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если сформированы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один</w:t>
      </w:r>
      <w:r>
        <w:rPr>
          <w:rFonts w:cs="Times New Roman"/>
          <w:sz w:val="28"/>
          <w:szCs w:val="28"/>
          <w:highlight w:val="white"/>
        </w:rPr>
        <w:t xml:space="preserve"> или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два</w:t>
      </w:r>
      <w:r>
        <w:rPr>
          <w:rFonts w:cs="Times New Roman"/>
          <w:sz w:val="28"/>
          <w:szCs w:val="28"/>
          <w:highlight w:val="white"/>
        </w:rPr>
        <w:t xml:space="preserve"> рыболовных участка для осуществления про</w:t>
      </w:r>
      <w:r>
        <w:rPr>
          <w:rFonts w:cs="Times New Roman"/>
          <w:sz w:val="28"/>
          <w:szCs w:val="28"/>
          <w:highlight w:val="white"/>
        </w:rPr>
        <w:t xml:space="preserve">мышленного рыболовства либо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один</w:t>
      </w:r>
      <w:r>
        <w:rPr>
          <w:rFonts w:cs="Times New Roman"/>
          <w:sz w:val="28"/>
          <w:szCs w:val="28"/>
          <w:highlight w:val="white"/>
        </w:rPr>
        <w:t xml:space="preserve"> рыболовный участок для осуществления промышленного рыболовства 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один</w:t>
      </w:r>
      <w:r>
        <w:rPr>
          <w:rFonts w:cs="Times New Roman"/>
          <w:sz w:val="28"/>
          <w:szCs w:val="28"/>
          <w:highlight w:val="white"/>
        </w:rPr>
        <w:t xml:space="preserve"> рыбопромысловый участок для осуществления промышленного рыболовства, расположенные на территории одного муниципального образования автономного округа или</w:t>
      </w:r>
      <w:r>
        <w:rPr>
          <w:rFonts w:cs="Times New Roman"/>
          <w:sz w:val="28"/>
          <w:szCs w:val="28"/>
          <w:highlight w:val="white"/>
        </w:rPr>
        <w:t xml:space="preserve"> на территориях, прилегающих к территории такого муниципального образования.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6. Критерии оценки и сопоставления заявок на участие в конкурсе: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средневзвешенные показатели освоения квот добычи (вылова) водных биологических ресурсов либо объемов добычи (вы</w:t>
      </w:r>
      <w:r>
        <w:rPr>
          <w:sz w:val="28"/>
          <w:szCs w:val="28"/>
          <w:highlight w:val="white"/>
        </w:rPr>
        <w:t>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</w:t>
      </w:r>
      <w:r>
        <w:rPr>
          <w:sz w:val="28"/>
          <w:szCs w:val="28"/>
          <w:highlight w:val="white"/>
        </w:rPr>
        <w:t>м порядке до 31 декабря 2018 года рыбопромысловых участках в одних и тех же районах добычи (вылова),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</w:t>
      </w:r>
      <w:r>
        <w:rPr>
          <w:sz w:val="28"/>
          <w:szCs w:val="28"/>
          <w:highlight w:val="white"/>
        </w:rPr>
        <w:t xml:space="preserve"> ресурсов к общему объему квот либо объему добычи (вылова) водных биологических ресурсов, 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</w:t>
      </w:r>
      <w:r>
        <w:rPr>
          <w:sz w:val="28"/>
          <w:szCs w:val="28"/>
          <w:highlight w:val="white"/>
        </w:rPr>
        <w:t xml:space="preserve">формированных в установленном порядке до 31 декабря 2018 года рыбопромысловых участках). В случае если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</w:t>
      </w:r>
      <w:r>
        <w:rPr>
          <w:sz w:val="28"/>
          <w:szCs w:val="28"/>
          <w:highlight w:val="white"/>
        </w:rPr>
        <w:t>до 31 декабря 2018 года рыбопромысловых участках в одних и тех же районах добычи (вылова) менее 4 лет,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</w:t>
      </w:r>
      <w:r>
        <w:rPr>
          <w:sz w:val="28"/>
          <w:szCs w:val="28"/>
          <w:highlight w:val="white"/>
        </w:rPr>
        <w:t>и) промышленного рыболовства на сформированных в установленном порядке до 31 декабря 2018 года рыбопромысловых участках за фактический период. Значение этого критерия оценки устанавливается в конкурсной документации в размере 20 процентов (для участников к</w:t>
      </w:r>
      <w:r>
        <w:rPr>
          <w:sz w:val="28"/>
          <w:szCs w:val="28"/>
          <w:highlight w:val="white"/>
        </w:rPr>
        <w:t>онкурса, представивших в составе заявки информацию об отсутствии документов, подтверждающих 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</w:t>
      </w:r>
      <w:r>
        <w:rPr>
          <w:sz w:val="28"/>
          <w:szCs w:val="28"/>
          <w:highlight w:val="white"/>
        </w:rPr>
        <w:t xml:space="preserve">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</w:t>
      </w:r>
      <w:r>
        <w:rPr>
          <w:sz w:val="28"/>
          <w:szCs w:val="28"/>
          <w:highlight w:val="white"/>
        </w:rPr>
        <w:lastRenderedPageBreak/>
        <w:t>рыбопромысловых уча</w:t>
      </w:r>
      <w:r>
        <w:rPr>
          <w:sz w:val="28"/>
          <w:szCs w:val="28"/>
          <w:highlight w:val="white"/>
        </w:rPr>
        <w:t>стках в тех же районах добычи (вылова) за последние 4 года и менее, предшествующие году проведения конкурса, значение этого критерия оценки устанавливается в конкурсной документации с применением коэффициента, равного 0);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б) показатель среднесуточного объе</w:t>
      </w:r>
      <w:r>
        <w:rPr>
          <w:sz w:val="28"/>
          <w:szCs w:val="28"/>
          <w:highlight w:val="white"/>
        </w:rPr>
        <w:t>ма производства (в тоннах) заявителем рыбной продукции на рыбоперерабатывающем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 Показатель сре</w:t>
      </w:r>
      <w:r>
        <w:rPr>
          <w:sz w:val="28"/>
          <w:szCs w:val="28"/>
          <w:highlight w:val="white"/>
        </w:rPr>
        <w:t xml:space="preserve">днесуточного объема производства рыбной продукции определяется как сумма среднесуточных объемов каждого вида продукции, последовательно умноженных на следующие коэффициенты: 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коэффициент удаленности, равный: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1 – если рыбоперерабатывающий завод расположен на расстоянии до 50 километров от ближайшей точки указанного в заявке рыболовного участка;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0,75 – если рыбоперерабатывающий завод расположен на расстоянии от 50 до 100 километров от ближайшей точки указанного </w:t>
      </w:r>
      <w:r>
        <w:rPr>
          <w:sz w:val="28"/>
          <w:szCs w:val="28"/>
          <w:highlight w:val="white"/>
        </w:rPr>
        <w:t>в заявке рыболовного участка;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0,5 – если рыбоперерабатывающий завод расположен на расстоянии от 100 до 150 километров от ближайшей точки указанного в заявке рыболовного участка;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0,1 – если рыбоперерабатывающий завод расположен на расстоянии свыше 150 килом</w:t>
      </w:r>
      <w:r>
        <w:rPr>
          <w:sz w:val="28"/>
          <w:szCs w:val="28"/>
          <w:highlight w:val="white"/>
        </w:rPr>
        <w:t xml:space="preserve">етров от ближайшей точки указанного в заявке рыболовного участка; 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коэффициент производства заявителем рыбной продукции, предусмотренной перечнем, утвержденным приказом Министерства сельского хозяйства Российской Федерации от 21 декабря 2015 года № 651 «Об</w:t>
      </w:r>
      <w:r>
        <w:rPr>
          <w:sz w:val="28"/>
          <w:szCs w:val="28"/>
          <w:highlight w:val="white"/>
        </w:rPr>
        <w:t xml:space="preserve"> утверждении перечня видов рыбной и иной продукции из водных биологических ресурсов», равный: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 – в отношении рыбной продукции, предусмотренной перечнем, утвержденным приказом Министерства сельского хозяйства Российской Федерации от 21 декабря 2015 года № </w:t>
      </w:r>
      <w:r>
        <w:rPr>
          <w:sz w:val="28"/>
          <w:szCs w:val="28"/>
          <w:highlight w:val="white"/>
        </w:rPr>
        <w:t>651 «Об утверждении перечня видов рыбной и иной продукции из водных биологических ресурсов»;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0,75 – в отношении рыбной продукции, которая подвергается тепловой обработке в виде охлаждения;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0,5 – в отношении рыбной продукции, которая подвергается тепловой о</w:t>
      </w:r>
      <w:r>
        <w:rPr>
          <w:sz w:val="28"/>
          <w:szCs w:val="28"/>
          <w:highlight w:val="white"/>
        </w:rPr>
        <w:t xml:space="preserve">бработке в виде замораживания. 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Значение этого критерия оценки устанавливается в конкурсной документации в разм</w:t>
      </w:r>
      <w:r>
        <w:rPr>
          <w:sz w:val="28"/>
          <w:szCs w:val="28"/>
          <w:highlight w:val="white"/>
        </w:rPr>
        <w:t xml:space="preserve">ере 30 процентов (для 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тоннах) рыбной продукции заявителем на рыбоперерабатывающем заводе за последние </w:t>
      </w:r>
      <w:r>
        <w:rPr>
          <w:sz w:val="28"/>
          <w:szCs w:val="28"/>
          <w:highlight w:val="white"/>
        </w:rPr>
        <w:t xml:space="preserve">4 года, предшествующие году проведения конкурса, либо за фактический период, предшествующий проведению конкурса, если этот период менее 4 лет, значение этого критерия оценки устанавливается в конкурсной документации с применением коэффициента, равного 0); 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highlight w:val="white"/>
          <w:lang w:eastAsia="ru-RU" w:bidi="ar-SA"/>
        </w:rPr>
        <w:t>Хант</w:t>
      </w:r>
      <w:r>
        <w:rPr>
          <w:sz w:val="28"/>
          <w:szCs w:val="28"/>
          <w:highlight w:val="white"/>
          <w:lang w:eastAsia="ru-RU" w:bidi="ar-SA"/>
        </w:rPr>
        <w:t xml:space="preserve">ы-Мансийского автономного 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Югры</w:t>
      </w:r>
      <w:r>
        <w:rPr>
          <w:sz w:val="28"/>
          <w:szCs w:val="28"/>
          <w:highlight w:val="white"/>
        </w:rPr>
        <w:t xml:space="preserve">, на территории которого расположен рыболовный участок или к территории которого прилегает рыболовный участок. Значение этого критерия </w:t>
      </w:r>
      <w:r>
        <w:rPr>
          <w:sz w:val="28"/>
          <w:szCs w:val="28"/>
          <w:highlight w:val="white"/>
        </w:rPr>
        <w:lastRenderedPageBreak/>
        <w:t>оценки устанавливается в конкурсной документации в размере 25 процентов (для участ</w:t>
      </w:r>
      <w:r>
        <w:rPr>
          <w:sz w:val="28"/>
          <w:szCs w:val="28"/>
          <w:highlight w:val="white"/>
        </w:rPr>
        <w:t>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г) предло</w:t>
      </w:r>
      <w:r>
        <w:rPr>
          <w:rFonts w:cs="Times New Roman"/>
          <w:sz w:val="28"/>
          <w:szCs w:val="28"/>
          <w:highlight w:val="white"/>
        </w:rPr>
        <w:t xml:space="preserve">жение участника конкурса о размере платы за предоставление </w:t>
      </w:r>
      <w:r>
        <w:rPr>
          <w:rFonts w:cs="Times New Roman"/>
          <w:sz w:val="28"/>
          <w:szCs w:val="28"/>
          <w:highlight w:val="white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  <w:highlight w:val="white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7. </w:t>
      </w:r>
      <w:r>
        <w:rPr>
          <w:rFonts w:cs="Times New Roman"/>
          <w:sz w:val="28"/>
          <w:szCs w:val="28"/>
          <w:highlight w:val="white"/>
        </w:rPr>
        <w:t>Вскрытие конвертов с з</w:t>
      </w:r>
      <w:r>
        <w:rPr>
          <w:rFonts w:cs="Times New Roman"/>
          <w:sz w:val="28"/>
          <w:szCs w:val="28"/>
          <w:highlight w:val="white"/>
        </w:rPr>
        <w:t xml:space="preserve">аявками и открытие доступа к заявкам будет осуществляться комиссией в 10 часов 00 минут (по местному времени) 7 августа 2024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года</w:t>
      </w:r>
      <w:r>
        <w:rPr>
          <w:rFonts w:cs="Times New Roman"/>
          <w:sz w:val="28"/>
          <w:szCs w:val="28"/>
          <w:highlight w:val="white"/>
        </w:rPr>
        <w:t xml:space="preserve">, по </w:t>
      </w:r>
      <w:r>
        <w:rPr>
          <w:rFonts w:cs="Times New Roman"/>
          <w:bCs/>
          <w:iCs/>
          <w:sz w:val="28"/>
          <w:szCs w:val="28"/>
          <w:highlight w:val="white"/>
        </w:rPr>
        <w:t>адресу</w:t>
      </w:r>
      <w:r>
        <w:rPr>
          <w:rFonts w:cs="Times New Roman"/>
          <w:sz w:val="28"/>
          <w:szCs w:val="28"/>
          <w:highlight w:val="white"/>
        </w:rPr>
        <w:t xml:space="preserve">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 xml:space="preserve">, ул.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>, каб.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315 б.</w:t>
      </w:r>
    </w:p>
    <w:p w:rsidR="00B10063" w:rsidRDefault="00A632AC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Заявители (их представители) вправе присутствовать при вскрытии</w:t>
      </w:r>
      <w:r>
        <w:rPr>
          <w:rFonts w:cs="Times New Roman"/>
          <w:sz w:val="28"/>
          <w:szCs w:val="28"/>
          <w:highlight w:val="white"/>
        </w:rPr>
        <w:t xml:space="preserve"> конвертов с заявками и открытии доступа к заявкам.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8. Рассмотрение комиссией заявок будет проводиться непосредственно после подписания протокола вскрытия конвертов с заявками и открытия доступа к заявкам.</w:t>
      </w:r>
      <w:r>
        <w:rPr>
          <w:b/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Срок рассмотрения заявок – не более 20 рабочих дне</w:t>
      </w:r>
      <w:r>
        <w:rPr>
          <w:sz w:val="28"/>
          <w:szCs w:val="28"/>
          <w:highlight w:val="white"/>
        </w:rPr>
        <w:t xml:space="preserve">й с даты подписания протокола вскрытия конвертов с заявками и открытия доступа к заявкам, не позднее </w:t>
      </w:r>
      <w:r w:rsidRPr="001A1BBC">
        <w:rPr>
          <w:sz w:val="28"/>
          <w:szCs w:val="28"/>
          <w:highlight w:val="white"/>
        </w:rPr>
        <w:t>3 сентября</w:t>
      </w:r>
      <w:r>
        <w:rPr>
          <w:sz w:val="28"/>
          <w:szCs w:val="28"/>
          <w:highlight w:val="white"/>
        </w:rPr>
        <w:t xml:space="preserve"> 2024 года по адресу: </w:t>
      </w:r>
      <w:r>
        <w:rPr>
          <w:rFonts w:cs="Times New Roman"/>
          <w:sz w:val="28"/>
          <w:szCs w:val="28"/>
          <w:highlight w:val="white"/>
        </w:rPr>
        <w:t>г.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 xml:space="preserve">, ул.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315 б.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Протокол рассмотрения заявок на участие в конкурсе размещается организатором конкурса на официальном сайте.</w:t>
      </w:r>
    </w:p>
    <w:p w:rsidR="00B10063" w:rsidRDefault="00A632AC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eastAsia="Courier New" w:cs="Liberation Serif"/>
          <w:sz w:val="28"/>
          <w:szCs w:val="28"/>
          <w:highlight w:val="white"/>
          <w:lang w:eastAsia="ar-SA"/>
        </w:rPr>
        <w:t xml:space="preserve">Срок оценки и сопоставления заявок – не более 10 рабочих дней со дня подписания протокола рассмотрения заявок, не позднее </w:t>
      </w:r>
      <w:r>
        <w:rPr>
          <w:sz w:val="28"/>
          <w:szCs w:val="28"/>
          <w:highlight w:val="white"/>
        </w:rPr>
        <w:t>16 сентября 2024 года.</w:t>
      </w:r>
    </w:p>
    <w:p w:rsidR="00B10063" w:rsidRDefault="00A632AC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Под</w:t>
      </w:r>
      <w:r>
        <w:rPr>
          <w:rFonts w:cs="Times New Roman"/>
          <w:sz w:val="28"/>
          <w:szCs w:val="28"/>
          <w:highlight w:val="white"/>
        </w:rPr>
        <w:t xml:space="preserve">ведение итогов конкурса состоится в 11 часов 00 минут (по местному времени) не позднее 16 сентября 2024 года, по адресу: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>, ул.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315 б.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Протокол оценки и сопоставления заявок и подведения итогов конкурса размещается орга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низатором конкурса на официальном сайте.</w:t>
      </w:r>
    </w:p>
    <w:p w:rsidR="00B10063" w:rsidRDefault="00A632AC">
      <w:pPr>
        <w:spacing w:before="0" w:after="0"/>
        <w:ind w:firstLine="709"/>
        <w:jc w:val="both"/>
      </w:pPr>
      <w:r>
        <w:rPr>
          <w:sz w:val="28"/>
          <w:szCs w:val="28"/>
          <w:highlight w:val="white"/>
        </w:rPr>
        <w:t xml:space="preserve">9. Адрес официального сайта, на котором размещена конкурсная документация: </w:t>
      </w:r>
      <w:hyperlink r:id="rId14" w:tooltip="http://www.torgi.gov.ru/" w:history="1">
        <w:r>
          <w:rPr>
            <w:rStyle w:val="-"/>
            <w:color w:val="auto"/>
            <w:sz w:val="28"/>
            <w:szCs w:val="28"/>
            <w:highlight w:val="white"/>
            <w:u w:val="none"/>
          </w:rPr>
          <w:t>www.torgi.gov.ru</w:t>
        </w:r>
      </w:hyperlink>
      <w:r>
        <w:rPr>
          <w:sz w:val="28"/>
          <w:szCs w:val="28"/>
          <w:highlight w:val="white"/>
        </w:rPr>
        <w:t>.</w:t>
      </w:r>
    </w:p>
    <w:p w:rsidR="00B10063" w:rsidRDefault="00A632AC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Конкурсная документация доступна для ознакомления н</w:t>
      </w:r>
      <w:r>
        <w:rPr>
          <w:sz w:val="28"/>
          <w:szCs w:val="28"/>
          <w:highlight w:val="white"/>
        </w:rPr>
        <w:t>а официальном сайте без взимания платы.</w:t>
      </w:r>
    </w:p>
    <w:p w:rsidR="00B10063" w:rsidRDefault="00A632AC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B10063" w:rsidRDefault="00A632AC">
      <w:pPr>
        <w:spacing w:before="0" w:after="0"/>
        <w:ind w:firstLine="709"/>
        <w:jc w:val="both"/>
        <w:outlineLvl w:val="1"/>
      </w:pPr>
      <w:r>
        <w:rPr>
          <w:sz w:val="28"/>
          <w:szCs w:val="28"/>
          <w:highlight w:val="white"/>
        </w:rPr>
        <w:t>Запрос о предоставлении конкурсной докумен</w:t>
      </w:r>
      <w:r>
        <w:rPr>
          <w:sz w:val="28"/>
          <w:szCs w:val="28"/>
          <w:highlight w:val="white"/>
        </w:rPr>
        <w:t xml:space="preserve">тации содержащий: </w:t>
      </w:r>
      <w:r>
        <w:rPr>
          <w:rFonts w:cs="Times New Roman"/>
          <w:sz w:val="28"/>
          <w:szCs w:val="28"/>
          <w:highlight w:val="white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документацию, в случае если: почтой (указать почтов</w:t>
      </w:r>
      <w:r>
        <w:rPr>
          <w:rFonts w:cs="Times New Roman"/>
          <w:sz w:val="28"/>
          <w:szCs w:val="28"/>
          <w:highlight w:val="white"/>
        </w:rPr>
        <w:t>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  <w:highlight w:val="white"/>
        </w:rPr>
        <w:t xml:space="preserve"> направляется организатору конкурса </w:t>
      </w:r>
      <w:r>
        <w:rPr>
          <w:rFonts w:cs="Times New Roman"/>
          <w:sz w:val="28"/>
          <w:szCs w:val="28"/>
          <w:highlight w:val="white"/>
        </w:rPr>
        <w:t xml:space="preserve">по адресу: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>, ул.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315 или в электронном виде – на адрес электронной почты </w:t>
      </w:r>
      <w:hyperlink r:id="rId15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val="en-US" w:eastAsia="ru-RU" w:bidi="ar-SA"/>
          </w:rPr>
          <w:t>depprom</w:t>
        </w:r>
      </w:hyperlink>
      <w:hyperlink r:id="rId16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eastAsia="ru-RU" w:bidi="ar-SA"/>
          </w:rPr>
          <w:t>@</w:t>
        </w:r>
      </w:hyperlink>
      <w:hyperlink r:id="rId17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val="en-US" w:eastAsia="ru-RU" w:bidi="ar-SA"/>
          </w:rPr>
          <w:t>admhmao</w:t>
        </w:r>
      </w:hyperlink>
      <w:hyperlink r:id="rId18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highlight w:val="white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highlight w:val="white"/>
          <w:u w:val="none"/>
          <w:lang w:eastAsia="ru-RU" w:bidi="ar-SA"/>
        </w:rPr>
        <w:t>.</w:t>
      </w:r>
    </w:p>
    <w:p w:rsidR="00B10063" w:rsidRDefault="00A632AC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Конкурсную документацию в печатном виде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 xml:space="preserve">, ул.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318.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lastRenderedPageBreak/>
        <w:t>Организатор конкурса вправе отказаться от проведения конкурса не позд</w:t>
      </w:r>
      <w:r>
        <w:rPr>
          <w:rFonts w:cs="Times New Roman"/>
          <w:sz w:val="28"/>
          <w:szCs w:val="28"/>
          <w:highlight w:val="white"/>
        </w:rPr>
        <w:t>нее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10. Размер вносимого заявителем задатка</w:t>
      </w:r>
      <w:r>
        <w:rPr>
          <w:b/>
          <w:bCs/>
          <w:sz w:val="28"/>
          <w:szCs w:val="28"/>
          <w:highlight w:val="white"/>
        </w:rPr>
        <w:t xml:space="preserve"> составляет </w:t>
      </w:r>
      <w:r>
        <w:rPr>
          <w:b/>
          <w:bCs/>
          <w:sz w:val="28"/>
          <w:szCs w:val="28"/>
          <w:highlight w:val="white"/>
          <w:lang w:eastAsia="ru-RU" w:bidi="ar-SA"/>
        </w:rPr>
        <w:t xml:space="preserve">50 </w:t>
      </w:r>
      <w:r>
        <w:rPr>
          <w:b/>
          <w:bCs/>
          <w:sz w:val="28"/>
          <w:szCs w:val="28"/>
          <w:highlight w:val="white"/>
        </w:rPr>
        <w:t>% размера платы за предоставление в пользование рыболовного участка, содержащейся в предложении заявителя о размере такой платы. В случае подачи заявителем заявки в соответствии с требованиями конкурсной документации соглашение о задатке меж</w:t>
      </w:r>
      <w:r>
        <w:rPr>
          <w:b/>
          <w:bCs/>
          <w:sz w:val="28"/>
          <w:szCs w:val="28"/>
          <w:highlight w:val="white"/>
        </w:rPr>
        <w:t>ду организатором конкурса и заявителем считается совершенным в письменной форме.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Задаток вносится заявителем до подачи заявки на участие в конкурсе. Внесение задатка допускается только заявителем.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Реквизиты счета для внесения заявителем задатка: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Наименован</w:t>
      </w:r>
      <w:r>
        <w:rPr>
          <w:b/>
          <w:bCs/>
          <w:sz w:val="28"/>
          <w:szCs w:val="28"/>
          <w:highlight w:val="white"/>
        </w:rPr>
        <w:t>ие получателя: Департамент финансов Ханты-Мансийского автономного округа – Югры (Деппромышленности Югры 700024676)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Наименование банка: РКЦ Ханты-Мансийск//УФК по 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Ханты-Мансийскому автономному округу – Югре г. Ханты-Мансийск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Номер счета получателя (номер к</w:t>
      </w:r>
      <w:r>
        <w:rPr>
          <w:b/>
          <w:bCs/>
          <w:sz w:val="28"/>
          <w:szCs w:val="28"/>
          <w:highlight w:val="white"/>
        </w:rPr>
        <w:t>азначейского счета): 03221643718000008700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Банковский счет, водящий в состав единого казначейского счета (ЕКС): 40102810245370000007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БИК: 007162163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ИНН: 8601063930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КПП: 860101001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ОКТМО: 71871000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  <w:lang w:eastAsia="ru-RU" w:bidi="ar-SA"/>
        </w:rPr>
        <w:t xml:space="preserve">Назначение платежа: </w:t>
      </w:r>
      <w:r>
        <w:rPr>
          <w:b/>
          <w:bCs/>
          <w:sz w:val="28"/>
          <w:szCs w:val="28"/>
          <w:highlight w:val="white"/>
        </w:rPr>
        <w:t>«</w:t>
      </w:r>
      <w:r>
        <w:rPr>
          <w:b/>
          <w:bCs/>
          <w:sz w:val="28"/>
          <w:szCs w:val="28"/>
          <w:highlight w:val="white"/>
          <w:lang w:eastAsia="ru-RU" w:bidi="ar-SA"/>
        </w:rPr>
        <w:t>Задаток</w:t>
      </w:r>
      <w:r>
        <w:rPr>
          <w:b/>
          <w:bCs/>
          <w:sz w:val="28"/>
          <w:szCs w:val="28"/>
          <w:highlight w:val="white"/>
        </w:rPr>
        <w:t xml:space="preserve"> для участия в 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ar-SA"/>
        </w:rPr>
        <w:t>конкурсе №14/2024</w:t>
      </w:r>
      <w:r>
        <w:rPr>
          <w:b/>
          <w:bCs/>
          <w:sz w:val="28"/>
          <w:szCs w:val="28"/>
          <w:highlight w:val="white"/>
        </w:rPr>
        <w:t>, Лот № ______.»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Документ, подтверждающий внесение заявителем задатка, прилагается к заявке.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В случае отказа организатора конкурса от его проведения, задаток возвращается заявителям в течение 5 рабочих дней со дня принятия решения об отказе от проведения к</w:t>
      </w:r>
      <w:r>
        <w:rPr>
          <w:bCs/>
          <w:sz w:val="28"/>
          <w:szCs w:val="28"/>
          <w:highlight w:val="white"/>
        </w:rPr>
        <w:t>онкурса.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Заявителю, не допущенному к участию в конкурсе, задаток возвращается в течение 5 рабочих дней с даты подписания протокола рассмотрения заявок.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Участнику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Участникам конкурса, которые не стали победителями конкурса, задаток возвр</w:t>
      </w:r>
      <w:r>
        <w:rPr>
          <w:bCs/>
          <w:sz w:val="28"/>
          <w:szCs w:val="28"/>
          <w:highlight w:val="white"/>
        </w:rPr>
        <w:t>ащается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</w:t>
      </w:r>
      <w:r>
        <w:rPr>
          <w:bCs/>
          <w:sz w:val="28"/>
          <w:szCs w:val="28"/>
          <w:highlight w:val="white"/>
        </w:rPr>
        <w:t>чих дней с даты заключения договора с победителем конкурса.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 xml:space="preserve"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</w:t>
      </w:r>
      <w:r>
        <w:rPr>
          <w:bCs/>
          <w:sz w:val="28"/>
          <w:szCs w:val="28"/>
          <w:highlight w:val="white"/>
        </w:rPr>
        <w:t>исполнения обязательств по заключенному договору и не возвращается участнику конкурса.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11. </w:t>
      </w:r>
      <w:r>
        <w:rPr>
          <w:sz w:val="28"/>
          <w:szCs w:val="28"/>
          <w:highlight w:val="white"/>
        </w:rPr>
        <w:t>Банковские реквизиты счета, на который подлежит зачислению плата победителя конкурса и (или) участника конкурса, заявке которого присвоен 2-й номер за предоставление в пользование рыболовного участка: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Наименование получателя: УФК по Ханты-Мансийскому автон</w:t>
      </w:r>
      <w:r>
        <w:rPr>
          <w:sz w:val="28"/>
          <w:szCs w:val="28"/>
          <w:highlight w:val="white"/>
        </w:rPr>
        <w:t>омному округу – Югре (Департамент промышленности Ханты-Мансийского автономного округа – Югры, л/с 04871</w:t>
      </w:r>
      <w:r>
        <w:rPr>
          <w:sz w:val="28"/>
          <w:szCs w:val="28"/>
          <w:highlight w:val="white"/>
          <w:lang w:val="en-US"/>
        </w:rPr>
        <w:t>D</w:t>
      </w:r>
      <w:r>
        <w:rPr>
          <w:sz w:val="28"/>
          <w:szCs w:val="28"/>
          <w:highlight w:val="white"/>
        </w:rPr>
        <w:t>91560)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Номер счета получателя (номер казнач</w:t>
      </w:r>
      <w:r>
        <w:rPr>
          <w:sz w:val="28"/>
          <w:szCs w:val="28"/>
          <w:highlight w:val="white"/>
        </w:rPr>
        <w:t>ейского счета): 03100</w:t>
      </w:r>
      <w:r>
        <w:rPr>
          <w:sz w:val="28"/>
          <w:szCs w:val="28"/>
          <w:highlight w:val="white"/>
          <w:lang w:eastAsia="ru-RU" w:bidi="ar-SA"/>
        </w:rPr>
        <w:t>643000000018700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Банковский счет, водящий в состав единого казначейского счета (ЕКС)40102810245370000007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БИК: 007162163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ИНН: 8601063930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КПП: 860101001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ОКТМО: 71871000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КБК: 076 1 12 06010 01 6000 120</w:t>
      </w:r>
    </w:p>
    <w:p w:rsidR="00B10063" w:rsidRDefault="00A632AC">
      <w:pPr>
        <w:spacing w:before="0" w:after="0"/>
        <w:ind w:firstLine="709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Назначение платежа: «Плата за предост</w:t>
      </w:r>
      <w:r>
        <w:rPr>
          <w:sz w:val="28"/>
          <w:szCs w:val="28"/>
          <w:highlight w:val="white"/>
          <w:lang w:eastAsia="ru-RU" w:bidi="ar-SA"/>
        </w:rPr>
        <w:t>авление в пользование рыболовного участка по конкурсу № 14/2024, Лот № ______.»</w:t>
      </w:r>
    </w:p>
    <w:p w:rsidR="00B10063" w:rsidRDefault="00A632AC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12. </w:t>
      </w:r>
      <w:r>
        <w:rPr>
          <w:rFonts w:cs="Times New Roman"/>
          <w:bCs/>
          <w:sz w:val="28"/>
          <w:szCs w:val="28"/>
          <w:highlight w:val="white"/>
        </w:rPr>
        <w:t>Начальная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</w:t>
      </w:r>
      <w:r>
        <w:rPr>
          <w:rFonts w:cs="Times New Roman"/>
          <w:bCs/>
          <w:sz w:val="28"/>
          <w:szCs w:val="28"/>
          <w:highlight w:val="white"/>
        </w:rPr>
        <w:t xml:space="preserve">ия договора о предоставлении рыболовного участка для осуществления промышленного рыболовства, утвержденными приказом Министерства сельского хозяйства Российской Федерации от </w:t>
      </w:r>
      <w:r>
        <w:rPr>
          <w:rFonts w:eastAsia="Calibri" w:cs="Times New Roman"/>
          <w:bCs/>
          <w:sz w:val="28"/>
          <w:szCs w:val="28"/>
          <w:highlight w:val="white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  <w:highlight w:val="white"/>
        </w:rPr>
        <w:t>20</w:t>
      </w:r>
      <w:r>
        <w:rPr>
          <w:rFonts w:eastAsia="Calibri" w:cs="Times New Roman"/>
          <w:bCs/>
          <w:sz w:val="28"/>
          <w:szCs w:val="28"/>
          <w:highlight w:val="white"/>
          <w:lang w:eastAsia="en-US" w:bidi="ar-SA"/>
        </w:rPr>
        <w:t>21 года</w:t>
      </w:r>
      <w:r>
        <w:rPr>
          <w:rFonts w:cs="Times New Roman"/>
          <w:bCs/>
          <w:sz w:val="28"/>
          <w:szCs w:val="28"/>
          <w:highlight w:val="white"/>
        </w:rPr>
        <w:t xml:space="preserve"> № </w:t>
      </w:r>
      <w:r>
        <w:rPr>
          <w:rFonts w:eastAsia="Calibri" w:cs="Times New Roman"/>
          <w:bCs/>
          <w:sz w:val="28"/>
          <w:szCs w:val="28"/>
          <w:highlight w:val="white"/>
          <w:lang w:eastAsia="en-US" w:bidi="ar-SA"/>
        </w:rPr>
        <w:t>548:</w:t>
      </w:r>
    </w:p>
    <w:p w:rsidR="00B10063" w:rsidRDefault="00B10063">
      <w:pPr>
        <w:spacing w:before="0" w:after="0"/>
        <w:rPr>
          <w:rFonts w:eastAsia="Times New Roman" w:cs="Times New Roman"/>
          <w:highlight w:val="white"/>
        </w:rPr>
      </w:pPr>
    </w:p>
    <w:tbl>
      <w:tblPr>
        <w:tblW w:w="9065" w:type="dxa"/>
        <w:tblInd w:w="8" w:type="dxa"/>
        <w:tblLook w:val="04A0" w:firstRow="1" w:lastRow="0" w:firstColumn="1" w:lastColumn="0" w:noHBand="0" w:noVBand="1"/>
      </w:tblPr>
      <w:tblGrid>
        <w:gridCol w:w="848"/>
        <w:gridCol w:w="5948"/>
        <w:gridCol w:w="2269"/>
      </w:tblGrid>
      <w:tr w:rsidR="00B10063">
        <w:trPr>
          <w:trHeight w:val="36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rFonts w:eastAsia="Calibri"/>
                <w:bCs/>
                <w:sz w:val="28"/>
                <w:szCs w:val="28"/>
                <w:highlight w:val="white"/>
              </w:rPr>
              <w:t>№ лота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rFonts w:eastAsia="Calibri"/>
                <w:bCs/>
                <w:sz w:val="28"/>
                <w:szCs w:val="28"/>
                <w:highlight w:val="white"/>
              </w:rPr>
              <w:t>Наименование рыболовного участка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rFonts w:eastAsia="Calibri"/>
                <w:bCs/>
                <w:sz w:val="28"/>
                <w:szCs w:val="28"/>
                <w:highlight w:val="white"/>
              </w:rPr>
              <w:t>Начальная цена предмета конкурса (лота), руб.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 xml:space="preserve">Озеро Винтинтур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842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>Озеро Волктайтур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5194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 xml:space="preserve">Озеро Вещатур (Вишья-Тур)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2070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>Озеро Ингатья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1309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rPr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 xml:space="preserve">Река Ингатья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10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rPr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 xml:space="preserve">Озеро Карье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294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t>7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 xml:space="preserve">Озеро Колхнаптур (Хохнань-Тур)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730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t>8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>Озеро Лячттур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2960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lastRenderedPageBreak/>
              <w:t>9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 xml:space="preserve">Река Ленгурья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70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t>10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>Озеро Лехт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214</w:t>
            </w:r>
          </w:p>
        </w:tc>
      </w:tr>
      <w:tr w:rsidR="00B10063">
        <w:trPr>
          <w:trHeight w:val="546"/>
        </w:trPr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t>11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>Протока Малый Кисарь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16</w:t>
            </w:r>
          </w:p>
        </w:tc>
      </w:tr>
      <w:tr w:rsidR="00B10063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B10063" w:rsidRDefault="00A632AC">
            <w:r>
              <w:t>12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r>
              <w:rPr>
                <w:rFonts w:eastAsia="Times New Roman" w:cs="Times New Roman"/>
                <w:color w:val="000000"/>
                <w:sz w:val="28"/>
              </w:rPr>
              <w:t>Река Еремкина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B10063" w:rsidRDefault="00A632AC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3</w:t>
            </w:r>
          </w:p>
        </w:tc>
      </w:tr>
    </w:tbl>
    <w:p w:rsidR="00B10063" w:rsidRDefault="00B10063">
      <w:pPr>
        <w:spacing w:before="0" w:after="0"/>
        <w:ind w:firstLine="709"/>
        <w:jc w:val="right"/>
        <w:rPr>
          <w:rFonts w:eastAsia="Times New Roman" w:cs="Times New Roman"/>
          <w:highlight w:val="white"/>
        </w:rPr>
      </w:pPr>
    </w:p>
    <w:p w:rsidR="00B10063" w:rsidRDefault="00B10063">
      <w:pPr>
        <w:spacing w:before="0" w:after="0"/>
        <w:ind w:firstLine="709"/>
        <w:jc w:val="right"/>
        <w:rPr>
          <w:rFonts w:eastAsia="Times New Roman" w:cs="Times New Roman"/>
          <w:highlight w:val="white"/>
        </w:rPr>
      </w:pPr>
    </w:p>
    <w:p w:rsidR="00B10063" w:rsidRDefault="00B10063">
      <w:pPr>
        <w:spacing w:before="0" w:after="0"/>
        <w:ind w:firstLine="709"/>
        <w:jc w:val="right"/>
        <w:rPr>
          <w:rFonts w:eastAsia="Times New Roman" w:cs="Times New Roman"/>
          <w:highlight w:val="white"/>
        </w:rPr>
      </w:pPr>
    </w:p>
    <w:p w:rsidR="00B10063" w:rsidRDefault="00B10063">
      <w:pPr>
        <w:spacing w:before="0" w:after="0"/>
        <w:ind w:firstLine="709"/>
        <w:jc w:val="right"/>
        <w:rPr>
          <w:rFonts w:eastAsia="Times New Roman" w:cs="Times New Roman"/>
          <w:highlight w:val="white"/>
        </w:rPr>
      </w:pPr>
    </w:p>
    <w:sectPr w:rsidR="00B10063">
      <w:headerReference w:type="default" r:id="rId19"/>
      <w:footerReference w:type="default" r:id="rId20"/>
      <w:pgSz w:w="11906" w:h="16838"/>
      <w:pgMar w:top="815" w:right="850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AC" w:rsidRDefault="00A632AC">
      <w:pPr>
        <w:spacing w:after="0"/>
      </w:pPr>
      <w:r>
        <w:separator/>
      </w:r>
    </w:p>
  </w:endnote>
  <w:endnote w:type="continuationSeparator" w:id="0">
    <w:p w:rsidR="00A632AC" w:rsidRDefault="00A63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63" w:rsidRDefault="00B100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AC" w:rsidRDefault="00A632AC">
      <w:pPr>
        <w:spacing w:after="0"/>
      </w:pPr>
      <w:r>
        <w:separator/>
      </w:r>
    </w:p>
  </w:footnote>
  <w:footnote w:type="continuationSeparator" w:id="0">
    <w:p w:rsidR="00A632AC" w:rsidRDefault="00A63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63" w:rsidRDefault="00B100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3"/>
    <w:rsid w:val="001A1BBC"/>
    <w:rsid w:val="00A632AC"/>
    <w:rsid w:val="00B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9097-2C9B-4786-98A5-1B20B16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styleId="a5">
    <w:name w:val="footnote reference"/>
    <w:basedOn w:val="a1"/>
    <w:uiPriority w:val="99"/>
    <w:unhideWhenUsed/>
    <w:rPr>
      <w:vertAlign w:val="superscript"/>
    </w:rPr>
  </w:style>
  <w:style w:type="character" w:styleId="a6">
    <w:name w:val="endnote reference"/>
    <w:basedOn w:val="a1"/>
    <w:uiPriority w:val="99"/>
    <w:semiHidden/>
    <w:unhideWhenUsed/>
    <w:rPr>
      <w:vertAlign w:val="superscript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unhideWhenUsed/>
    <w:qFormat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SubtitleChar">
    <w:name w:val="Subtitle Char"/>
    <w:basedOn w:val="a1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1">
    <w:name w:val="Заголовок 1 Знак1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9">
    <w:name w:val="Заголовок Знак"/>
    <w:basedOn w:val="a1"/>
    <w:uiPriority w:val="10"/>
    <w:qFormat/>
    <w:rPr>
      <w:sz w:val="48"/>
      <w:szCs w:val="48"/>
    </w:rPr>
  </w:style>
  <w:style w:type="character" w:customStyle="1" w:styleId="aa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b">
    <w:name w:val="Выделенная цитата Знак"/>
    <w:uiPriority w:val="30"/>
    <w:qFormat/>
    <w:rPr>
      <w:i/>
    </w:rPr>
  </w:style>
  <w:style w:type="character" w:customStyle="1" w:styleId="10">
    <w:name w:val="Верхний колонтитул Знак1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12">
    <w:name w:val="Нижний колонтитул Знак1"/>
    <w:uiPriority w:val="99"/>
    <w:qFormat/>
  </w:style>
  <w:style w:type="character" w:customStyle="1" w:styleId="ac">
    <w:name w:val="Текст сноски Знак"/>
    <w:uiPriority w:val="99"/>
    <w:qFormat/>
    <w:rPr>
      <w:sz w:val="18"/>
    </w:rPr>
  </w:style>
  <w:style w:type="character" w:customStyle="1" w:styleId="ad">
    <w:name w:val="Текст концевой сноски Знак"/>
    <w:uiPriority w:val="99"/>
    <w:qFormat/>
    <w:rPr>
      <w:sz w:val="20"/>
    </w:rPr>
  </w:style>
  <w:style w:type="character" w:customStyle="1" w:styleId="ae">
    <w:name w:val="Название Знак"/>
    <w:qFormat/>
    <w:rPr>
      <w:b/>
      <w:sz w:val="28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1"/>
    <w:qFormat/>
  </w:style>
  <w:style w:type="character" w:customStyle="1" w:styleId="13">
    <w:name w:val="Заголовок 1 Знак"/>
    <w:qFormat/>
    <w:rPr>
      <w:rFonts w:ascii="Cambria" w:hAnsi="Cambria"/>
      <w:b/>
      <w:bCs/>
      <w:sz w:val="32"/>
      <w:szCs w:val="32"/>
      <w:lang w:eastAsia="en-US"/>
    </w:rPr>
  </w:style>
  <w:style w:type="character" w:styleId="af1">
    <w:name w:val="page number"/>
    <w:basedOn w:val="a1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f2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1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f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f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1"/>
    <w:qFormat/>
  </w:style>
  <w:style w:type="character" w:customStyle="1" w:styleId="af6">
    <w:name w:val="Символ нумерации"/>
    <w:qFormat/>
  </w:style>
  <w:style w:type="paragraph" w:customStyle="1" w:styleId="a0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a"/>
    <w:pPr>
      <w:jc w:val="center"/>
    </w:pPr>
    <w:rPr>
      <w:sz w:val="28"/>
      <w:szCs w:val="28"/>
    </w:r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b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c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d">
    <w:name w:val="endnote text"/>
    <w:basedOn w:val="a"/>
    <w:uiPriority w:val="99"/>
    <w:semiHidden/>
    <w:unhideWhenUsed/>
    <w:pPr>
      <w:spacing w:after="0"/>
    </w:pPr>
    <w:rPr>
      <w:sz w:val="20"/>
    </w:rPr>
  </w:style>
  <w:style w:type="paragraph" w:styleId="14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styleId="aff">
    <w:name w:val="table of figures"/>
    <w:basedOn w:val="a"/>
    <w:uiPriority w:val="99"/>
    <w:unhideWhenUsed/>
    <w:qFormat/>
    <w:pPr>
      <w:spacing w:after="0"/>
    </w:pPr>
  </w:style>
  <w:style w:type="paragraph" w:styleId="aff0">
    <w:name w:val="Title"/>
    <w:basedOn w:val="a"/>
    <w:qFormat/>
    <w:pPr>
      <w:jc w:val="center"/>
    </w:pPr>
    <w:rPr>
      <w:b/>
      <w:sz w:val="28"/>
      <w:szCs w:val="20"/>
    </w:rPr>
  </w:style>
  <w:style w:type="paragraph" w:customStyle="1" w:styleId="15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Заголовок 11"/>
    <w:basedOn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0">
    <w:name w:val="Заголовок 21"/>
    <w:qFormat/>
    <w:pPr>
      <w:spacing w:before="200"/>
      <w:outlineLvl w:val="1"/>
    </w:pPr>
    <w:rPr>
      <w:rFonts w:eastAsia="Segoe UI" w:cs="Tahoma"/>
      <w:b/>
      <w:bCs/>
      <w:sz w:val="36"/>
      <w:szCs w:val="36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f1">
    <w:name w:val="Верхний и нижний колонтитулы"/>
    <w:basedOn w:val="a"/>
    <w:qFormat/>
  </w:style>
  <w:style w:type="paragraph" w:customStyle="1" w:styleId="17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2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4"/>
      <w:szCs w:val="20"/>
      <w:lang w:eastAsia="ru-RU" w:bidi="ar-SA"/>
    </w:rPr>
  </w:style>
  <w:style w:type="paragraph" w:styleId="aff4">
    <w:name w:val="Normal (Web)"/>
    <w:basedOn w:val="a"/>
    <w:qFormat/>
    <w:pPr>
      <w:spacing w:before="280" w:after="280"/>
    </w:pPr>
  </w:style>
  <w:style w:type="paragraph" w:styleId="aff5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f6">
    <w:name w:val="List Paragraph"/>
    <w:basedOn w:val="a"/>
    <w:qFormat/>
    <w:pPr>
      <w:spacing w:before="0" w:after="0"/>
      <w:ind w:left="720"/>
      <w:contextualSpacing/>
    </w:pPr>
  </w:style>
  <w:style w:type="paragraph" w:styleId="aff7">
    <w:name w:val="header"/>
    <w:basedOn w:val="aff1"/>
  </w:style>
  <w:style w:type="paragraph" w:styleId="aff8">
    <w:name w:val="footer"/>
    <w:basedOn w:val="af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single" w:sz="2" w:space="0" w:color="000000"/>
      </w:pBdr>
      <w:jc w:val="center"/>
    </w:pPr>
    <w:rPr>
      <w:rFonts w:ascii="Arial" w:eastAsia="Arial" w:hAnsi="Arial" w:cs="Courier New"/>
      <w:vanish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single" w:sz="2" w:space="0" w:color="000000"/>
      </w:pBdr>
      <w:jc w:val="center"/>
    </w:pPr>
    <w:rPr>
      <w:rFonts w:ascii="Arial" w:eastAsia="Arial" w:hAnsi="Arial" w:cs="Courier New"/>
      <w:vanish/>
      <w:sz w:val="16"/>
      <w:lang w:eastAsia="ru-RU" w:bidi="ar-SA"/>
    </w:rPr>
  </w:style>
  <w:style w:type="paragraph" w:customStyle="1" w:styleId="aff9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33">
    <w:name w:val="List Number 3"/>
    <w:qFormat/>
    <w:pPr>
      <w:ind w:left="1701" w:hanging="850"/>
    </w:pPr>
    <w:rPr>
      <w:sz w:val="24"/>
    </w:rPr>
  </w:style>
  <w:style w:type="paragraph" w:styleId="24">
    <w:name w:val="List Number 2"/>
    <w:qFormat/>
    <w:pPr>
      <w:ind w:left="1134" w:hanging="708"/>
    </w:pPr>
    <w:rPr>
      <w:sz w:val="24"/>
    </w:rPr>
  </w:style>
  <w:style w:type="paragraph" w:styleId="affa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sz w:val="24"/>
      <w:szCs w:val="20"/>
      <w:lang w:eastAsia="ru-RU" w:bidi="ar-SA"/>
    </w:rPr>
  </w:style>
  <w:style w:type="paragraph" w:customStyle="1" w:styleId="affb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9">
    <w:name w:val="Обычный1"/>
    <w:qFormat/>
    <w:rPr>
      <w:sz w:val="24"/>
      <w:lang w:eastAsia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fc">
    <w:name w:val="Обычный + По ширине"/>
    <w:basedOn w:val="a"/>
    <w:qFormat/>
    <w:pPr>
      <w:ind w:firstLine="720"/>
      <w:jc w:val="both"/>
    </w:pPr>
  </w:style>
  <w:style w:type="paragraph" w:styleId="affd">
    <w:name w:val="Subtitle"/>
    <w:basedOn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table" w:styleId="aff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5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pprom@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10" Type="http://schemas.openxmlformats.org/officeDocument/2006/relationships/hyperlink" Target="mailto:depprom@admhmao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8FAE-7431-47D6-8E40-DBEC795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РЛУ</vt:lpstr>
    </vt:vector>
  </TitlesOfParts>
  <Company/>
  <LinksUpToDate>false</LinksUpToDate>
  <CharactersWithSpaces>23513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РЛУ</dc:title>
  <dc:subject/>
  <dc:creator>SlepokurovAV@admhmao.ru</dc:creator>
  <dc:description/>
  <cp:lastModifiedBy>Жиляева Ольга Александровна</cp:lastModifiedBy>
  <cp:revision>2</cp:revision>
  <dcterms:created xsi:type="dcterms:W3CDTF">2024-07-04T09:30:00Z</dcterms:created>
  <dcterms:modified xsi:type="dcterms:W3CDTF">2024-07-04T09:30:00Z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